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EB0068">
        <w:rPr>
          <w:rFonts w:ascii="宋体" w:hAnsi="宋体" w:hint="eastAsia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月</w:t>
      </w:r>
      <w:r w:rsidR="00EB0068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357D19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EA0B4E" w:rsidRPr="00EA0B4E">
        <w:rPr>
          <w:rFonts w:ascii="宋体" w:hAnsi="宋体" w:hint="eastAsia"/>
          <w:color w:val="000000"/>
          <w:sz w:val="28"/>
          <w:szCs w:val="28"/>
        </w:rPr>
        <w:t>9,484,099,000.00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A0B4E" w:rsidRPr="00EA0B4E" w:rsidRDefault="00EA0B4E" w:rsidP="00EA0B4E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Pr="00EA0B4E">
        <w:rPr>
          <w:rFonts w:ascii="宋体" w:hAnsi="宋体" w:hint="eastAsia"/>
          <w:color w:val="000000"/>
          <w:sz w:val="28"/>
          <w:szCs w:val="28"/>
        </w:rPr>
        <w:t>于2018年10月25日（含）起，调整“乾元—满溢”90天开放式资产组合型人民币理财产品客户</w:t>
      </w:r>
      <w:proofErr w:type="gramStart"/>
      <w:r w:rsidRPr="00EA0B4E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EA0B4E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EA0B4E" w:rsidRPr="00EA0B4E" w:rsidRDefault="00EA0B4E" w:rsidP="00EA0B4E">
      <w:pPr>
        <w:adjustRightInd w:val="0"/>
        <w:snapToGrid w:val="0"/>
        <w:spacing w:line="2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tbl>
      <w:tblPr>
        <w:tblW w:w="3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EA0B4E" w:rsidRPr="00EA0B4E" w:rsidTr="00EA0B4E">
        <w:trPr>
          <w:trHeight w:val="20"/>
          <w:tblHeader/>
          <w:jc w:val="center"/>
        </w:trPr>
        <w:tc>
          <w:tcPr>
            <w:tcW w:w="2610" w:type="dxa"/>
            <w:vAlign w:val="center"/>
            <w:hideMark/>
          </w:tcPr>
          <w:p w:rsidR="00EA0B4E" w:rsidRPr="00EA0B4E" w:rsidRDefault="00EA0B4E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产品名称</w:t>
            </w:r>
          </w:p>
        </w:tc>
        <w:tc>
          <w:tcPr>
            <w:tcW w:w="1723" w:type="dxa"/>
            <w:vAlign w:val="center"/>
            <w:hideMark/>
          </w:tcPr>
          <w:p w:rsidR="00EA0B4E" w:rsidRPr="00EA0B4E" w:rsidRDefault="00EA0B4E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客户</w:t>
            </w:r>
            <w:proofErr w:type="gramStart"/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预期年化收益率</w:t>
            </w:r>
            <w:proofErr w:type="gramEnd"/>
          </w:p>
          <w:p w:rsidR="00EA0B4E" w:rsidRPr="00EA0B4E" w:rsidRDefault="00EA0B4E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（调整前）</w:t>
            </w:r>
          </w:p>
        </w:tc>
        <w:tc>
          <w:tcPr>
            <w:tcW w:w="1701" w:type="dxa"/>
            <w:hideMark/>
          </w:tcPr>
          <w:p w:rsidR="00EA0B4E" w:rsidRPr="00EA0B4E" w:rsidRDefault="00EA0B4E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客户</w:t>
            </w:r>
            <w:proofErr w:type="gramStart"/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预期年化收益率</w:t>
            </w:r>
            <w:proofErr w:type="gramEnd"/>
          </w:p>
          <w:p w:rsidR="00EA0B4E" w:rsidRPr="00EA0B4E" w:rsidRDefault="00EA0B4E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（调整后）</w:t>
            </w:r>
          </w:p>
        </w:tc>
      </w:tr>
      <w:tr w:rsidR="00EA0B4E" w:rsidRPr="00EA0B4E" w:rsidTr="00EA0B4E">
        <w:trPr>
          <w:trHeight w:val="20"/>
          <w:jc w:val="center"/>
        </w:trPr>
        <w:tc>
          <w:tcPr>
            <w:tcW w:w="2610" w:type="dxa"/>
            <w:vAlign w:val="center"/>
            <w:hideMark/>
          </w:tcPr>
          <w:p w:rsidR="00EA0B4E" w:rsidRPr="00EA0B4E" w:rsidRDefault="00EA0B4E" w:rsidP="00BA72EF">
            <w:pPr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“乾元—满溢”90天</w:t>
            </w:r>
          </w:p>
        </w:tc>
        <w:tc>
          <w:tcPr>
            <w:tcW w:w="1723" w:type="dxa"/>
            <w:vAlign w:val="center"/>
            <w:hideMark/>
          </w:tcPr>
          <w:p w:rsidR="00EA0B4E" w:rsidRPr="00EA0B4E" w:rsidRDefault="00EA0B4E" w:rsidP="00BA72EF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4.25%</w:t>
            </w:r>
          </w:p>
        </w:tc>
        <w:tc>
          <w:tcPr>
            <w:tcW w:w="1701" w:type="dxa"/>
            <w:vAlign w:val="center"/>
            <w:hideMark/>
          </w:tcPr>
          <w:p w:rsidR="00EA0B4E" w:rsidRPr="00EA0B4E" w:rsidRDefault="00EA0B4E" w:rsidP="00BA72EF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A0B4E">
              <w:rPr>
                <w:rFonts w:ascii="宋体" w:hAnsi="宋体" w:hint="eastAsia"/>
                <w:color w:val="000000"/>
                <w:sz w:val="24"/>
                <w:szCs w:val="28"/>
              </w:rPr>
              <w:t>3.80%</w:t>
            </w:r>
          </w:p>
        </w:tc>
      </w:tr>
    </w:tbl>
    <w:p w:rsidR="00EA0B4E" w:rsidRPr="00EA0B4E" w:rsidRDefault="00EA0B4E" w:rsidP="00EA0B4E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A0B4E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EA0B4E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EA0B4E">
        <w:rPr>
          <w:rFonts w:ascii="宋体" w:hAnsi="宋体" w:hint="eastAsia"/>
          <w:color w:val="000000"/>
          <w:sz w:val="28"/>
          <w:szCs w:val="28"/>
        </w:rPr>
        <w:t>于2018年10月25日（含）起执行。对于2018年10月25日（不含）前已经购买成功且未赎回的存量投资本金，其中封闭期内的份额仍按照购买确认日当日的客户</w:t>
      </w:r>
      <w:proofErr w:type="gramStart"/>
      <w:r w:rsidRPr="00EA0B4E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EA0B4E">
        <w:rPr>
          <w:rFonts w:ascii="宋体" w:hAnsi="宋体" w:hint="eastAsia"/>
          <w:color w:val="000000"/>
          <w:sz w:val="28"/>
          <w:szCs w:val="28"/>
        </w:rPr>
        <w:t>计算投资收益，非封闭期内的份额从2018年10月25日（含）起按调整后的</w:t>
      </w:r>
      <w:proofErr w:type="gramStart"/>
      <w:r w:rsidRPr="00EA0B4E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EA0B4E">
        <w:rPr>
          <w:rFonts w:ascii="宋体" w:hAnsi="宋体" w:hint="eastAsia"/>
          <w:color w:val="000000"/>
          <w:sz w:val="28"/>
          <w:szCs w:val="28"/>
        </w:rPr>
        <w:t>计算投资收益。2018年10月25日（含）后购买的部分自动执行调整后的客户</w:t>
      </w:r>
      <w:proofErr w:type="gramStart"/>
      <w:r w:rsidRPr="00EA0B4E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EA0B4E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EA0B4E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EA0B4E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EA0B4E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EA0B4E">
        <w:rPr>
          <w:rFonts w:ascii="宋体" w:hAnsi="宋体" w:hint="eastAsia"/>
          <w:color w:val="000000"/>
          <w:sz w:val="28"/>
          <w:szCs w:val="28"/>
        </w:rPr>
        <w:t>为准。</w:t>
      </w:r>
    </w:p>
    <w:p w:rsidR="00357D19" w:rsidRPr="00AA7A73" w:rsidRDefault="00357D19" w:rsidP="00357D19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（一）投资组合的基本情况</w:t>
      </w:r>
    </w:p>
    <w:p w:rsidR="00EB72C1" w:rsidRPr="00EE774A" w:rsidRDefault="0084645E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FC5A1B" wp14:editId="101BA3AF">
            <wp:extent cx="3771900" cy="17145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84645E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93048A" wp14:editId="5E9BCA59">
            <wp:extent cx="3705225" cy="2381250"/>
            <wp:effectExtent l="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7296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="00087296">
        <w:rPr>
          <w:rFonts w:ascii="宋体" w:hAnsi="宋体" w:hint="eastAsia"/>
          <w:b/>
          <w:color w:val="000000"/>
          <w:sz w:val="28"/>
          <w:szCs w:val="28"/>
        </w:rPr>
        <w:t>投资</w:t>
      </w:r>
      <w:r w:rsidR="00087296" w:rsidRPr="00EE774A">
        <w:rPr>
          <w:rFonts w:ascii="宋体" w:hAnsi="宋体" w:hint="eastAsia"/>
          <w:b/>
          <w:color w:val="000000"/>
          <w:sz w:val="28"/>
          <w:szCs w:val="28"/>
        </w:rPr>
        <w:t>类</w:t>
      </w:r>
      <w:r w:rsidR="00087296"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="00087296" w:rsidRPr="00EE774A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EB72C1" w:rsidRPr="005622F6" w:rsidRDefault="0084645E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6361FC4" wp14:editId="080AF7D5">
            <wp:extent cx="3028950" cy="1714500"/>
            <wp:effectExtent l="0" t="0" r="1905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7296" w:rsidRDefault="00087296" w:rsidP="0008729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087296" w:rsidRDefault="0084645E" w:rsidP="0084645E">
      <w:pPr>
        <w:spacing w:line="480" w:lineRule="exact"/>
        <w:ind w:firstLineChars="200" w:firstLine="42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271130</wp:posOffset>
            </wp:positionH>
            <wp:positionV relativeFrom="paragraph">
              <wp:posOffset>156299</wp:posOffset>
            </wp:positionV>
            <wp:extent cx="5273749" cy="1350334"/>
            <wp:effectExtent l="0" t="0" r="22225" b="21590"/>
            <wp:wrapNone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296" w:rsidRPr="00EE774A" w:rsidRDefault="00087296" w:rsidP="0008729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（五）投资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087296" w:rsidRDefault="0084645E" w:rsidP="0084645E">
      <w:pPr>
        <w:spacing w:line="480" w:lineRule="exact"/>
        <w:ind w:firstLineChars="200" w:firstLine="42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510134" wp14:editId="1FA81956">
            <wp:simplePos x="0" y="0"/>
            <wp:positionH relativeFrom="column">
              <wp:posOffset>270510</wp:posOffset>
            </wp:positionH>
            <wp:positionV relativeFrom="paragraph">
              <wp:posOffset>152267</wp:posOffset>
            </wp:positionV>
            <wp:extent cx="5274310" cy="940435"/>
            <wp:effectExtent l="0" t="0" r="21590" b="12065"/>
            <wp:wrapNone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296" w:rsidRPr="0084645E" w:rsidRDefault="00087296" w:rsidP="0084645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EB0068">
        <w:rPr>
          <w:rFonts w:ascii="宋体" w:hAnsi="宋体" w:hint="eastAsia"/>
          <w:color w:val="000000"/>
          <w:sz w:val="28"/>
          <w:szCs w:val="28"/>
        </w:rPr>
        <w:t>11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EB0068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EB72C1" w:rsidRPr="00371CB6" w:rsidRDefault="00EB72C1" w:rsidP="005876AE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EB72C1" w:rsidRPr="0037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98" w:rsidRDefault="006D6398" w:rsidP="00EB72C1">
      <w:r>
        <w:separator/>
      </w:r>
    </w:p>
  </w:endnote>
  <w:endnote w:type="continuationSeparator" w:id="0">
    <w:p w:rsidR="006D6398" w:rsidRDefault="006D6398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98" w:rsidRDefault="006D6398" w:rsidP="00EB72C1">
      <w:r>
        <w:separator/>
      </w:r>
    </w:p>
  </w:footnote>
  <w:footnote w:type="continuationSeparator" w:id="0">
    <w:p w:rsidR="006D6398" w:rsidRDefault="006D6398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25812"/>
    <w:rsid w:val="00065AA1"/>
    <w:rsid w:val="00087296"/>
    <w:rsid w:val="000A2BC1"/>
    <w:rsid w:val="000B0B4A"/>
    <w:rsid w:val="000D2968"/>
    <w:rsid w:val="00120E19"/>
    <w:rsid w:val="001318CD"/>
    <w:rsid w:val="00136293"/>
    <w:rsid w:val="00153C80"/>
    <w:rsid w:val="001A5007"/>
    <w:rsid w:val="001E0BDC"/>
    <w:rsid w:val="00223920"/>
    <w:rsid w:val="00231318"/>
    <w:rsid w:val="00234D91"/>
    <w:rsid w:val="00253127"/>
    <w:rsid w:val="002720BA"/>
    <w:rsid w:val="00283FE4"/>
    <w:rsid w:val="002D5B11"/>
    <w:rsid w:val="002E7107"/>
    <w:rsid w:val="002F1219"/>
    <w:rsid w:val="002F58AC"/>
    <w:rsid w:val="00352DAC"/>
    <w:rsid w:val="00357D19"/>
    <w:rsid w:val="00376577"/>
    <w:rsid w:val="003A425A"/>
    <w:rsid w:val="003A6FD8"/>
    <w:rsid w:val="004A16F8"/>
    <w:rsid w:val="004B7C4F"/>
    <w:rsid w:val="004F7D8D"/>
    <w:rsid w:val="00525209"/>
    <w:rsid w:val="005444C6"/>
    <w:rsid w:val="00552B28"/>
    <w:rsid w:val="005609BB"/>
    <w:rsid w:val="005876AE"/>
    <w:rsid w:val="005C3C4B"/>
    <w:rsid w:val="00615DF9"/>
    <w:rsid w:val="0064560B"/>
    <w:rsid w:val="00690CB6"/>
    <w:rsid w:val="006C2B34"/>
    <w:rsid w:val="006D6398"/>
    <w:rsid w:val="006E37F0"/>
    <w:rsid w:val="006F2D24"/>
    <w:rsid w:val="007254B5"/>
    <w:rsid w:val="00727382"/>
    <w:rsid w:val="007A4963"/>
    <w:rsid w:val="007E0684"/>
    <w:rsid w:val="007E5431"/>
    <w:rsid w:val="00811D71"/>
    <w:rsid w:val="0084645E"/>
    <w:rsid w:val="00861CA7"/>
    <w:rsid w:val="008906EA"/>
    <w:rsid w:val="008C2404"/>
    <w:rsid w:val="008D61DA"/>
    <w:rsid w:val="008E6BEC"/>
    <w:rsid w:val="008E72A7"/>
    <w:rsid w:val="008F0625"/>
    <w:rsid w:val="009164CA"/>
    <w:rsid w:val="00916C06"/>
    <w:rsid w:val="009355B9"/>
    <w:rsid w:val="00962C01"/>
    <w:rsid w:val="0096674C"/>
    <w:rsid w:val="009711EE"/>
    <w:rsid w:val="00990ACB"/>
    <w:rsid w:val="00993D28"/>
    <w:rsid w:val="009C2DE7"/>
    <w:rsid w:val="009D0632"/>
    <w:rsid w:val="009D33C0"/>
    <w:rsid w:val="00A332F2"/>
    <w:rsid w:val="00A33DB8"/>
    <w:rsid w:val="00A35E30"/>
    <w:rsid w:val="00A40A1D"/>
    <w:rsid w:val="00A66F45"/>
    <w:rsid w:val="00AA332A"/>
    <w:rsid w:val="00AA61AA"/>
    <w:rsid w:val="00AD1128"/>
    <w:rsid w:val="00AE4DC3"/>
    <w:rsid w:val="00B071A9"/>
    <w:rsid w:val="00B10A8D"/>
    <w:rsid w:val="00B5037F"/>
    <w:rsid w:val="00B50395"/>
    <w:rsid w:val="00BB25DE"/>
    <w:rsid w:val="00BC3920"/>
    <w:rsid w:val="00BE02D8"/>
    <w:rsid w:val="00BF01E2"/>
    <w:rsid w:val="00BF046E"/>
    <w:rsid w:val="00C1385C"/>
    <w:rsid w:val="00C209B8"/>
    <w:rsid w:val="00C255A6"/>
    <w:rsid w:val="00C82292"/>
    <w:rsid w:val="00CA235D"/>
    <w:rsid w:val="00CB6958"/>
    <w:rsid w:val="00CE4B7B"/>
    <w:rsid w:val="00D03786"/>
    <w:rsid w:val="00D24AF1"/>
    <w:rsid w:val="00D46D16"/>
    <w:rsid w:val="00D675D7"/>
    <w:rsid w:val="00DF7677"/>
    <w:rsid w:val="00E779B4"/>
    <w:rsid w:val="00EA0B4E"/>
    <w:rsid w:val="00EB0068"/>
    <w:rsid w:val="00EB37B7"/>
    <w:rsid w:val="00EB426C"/>
    <w:rsid w:val="00EB72C1"/>
    <w:rsid w:val="00F031B3"/>
    <w:rsid w:val="00F05A6B"/>
    <w:rsid w:val="00F10700"/>
    <w:rsid w:val="00F16B8B"/>
    <w:rsid w:val="00F37F6A"/>
    <w:rsid w:val="00F92C32"/>
    <w:rsid w:val="00F95DDD"/>
    <w:rsid w:val="00FA18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'2018年10月'!$A$232:$A$234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'2018年10月'!$B$232:$B$234</c:f>
              <c:numCache>
                <c:formatCode>0.00%</c:formatCode>
                <c:ptCount val="3"/>
                <c:pt idx="0">
                  <c:v>0.32303717066419185</c:v>
                </c:pt>
                <c:pt idx="1">
                  <c:v>0.22022170773580624</c:v>
                </c:pt>
                <c:pt idx="2">
                  <c:v>0.45674112160000202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'2018年10月'!$A$239:$A$244</c:f>
              <c:strCache>
                <c:ptCount val="6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AA+</c:v>
                </c:pt>
                <c:pt idx="5">
                  <c:v>AAA</c:v>
                </c:pt>
              </c:strCache>
            </c:strRef>
          </c:cat>
          <c:val>
            <c:numRef>
              <c:f>'2018年10月'!$B$239:$B$244</c:f>
              <c:numCache>
                <c:formatCode>0.00%</c:formatCode>
                <c:ptCount val="6"/>
                <c:pt idx="0">
                  <c:v>1.6358511569131987E-2</c:v>
                </c:pt>
                <c:pt idx="1">
                  <c:v>0.2290191619678478</c:v>
                </c:pt>
                <c:pt idx="2">
                  <c:v>0.29772491055820216</c:v>
                </c:pt>
                <c:pt idx="3">
                  <c:v>0.14242466120213859</c:v>
                </c:pt>
                <c:pt idx="4">
                  <c:v>0.14701394347178917</c:v>
                </c:pt>
                <c:pt idx="5">
                  <c:v>0.16745881123089032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820317271661801E-2"/>
          <c:y val="4.7685039370078751E-2"/>
          <c:w val="0.74979547367899768"/>
          <c:h val="0.8083336249635462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'2018年10月'!$A$249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'2018年10月'!$B$249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66970131796313E-2"/>
          <c:y val="5.9976931949250287E-2"/>
          <c:w val="0.74092679456415578"/>
          <c:h val="0.83367172529039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'2018年10月'!$B$260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'2018年10月'!$A$261:$A$263</c:f>
              <c:strCache>
                <c:ptCount val="3"/>
                <c:pt idx="0">
                  <c:v>建筑业</c:v>
                </c:pt>
                <c:pt idx="1">
                  <c:v>批发和零售业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'2018年10月'!$B$261:$B$263</c:f>
              <c:numCache>
                <c:formatCode>0.00%</c:formatCode>
                <c:ptCount val="3"/>
                <c:pt idx="0">
                  <c:v>3.2717023138263975E-2</c:v>
                </c:pt>
                <c:pt idx="1">
                  <c:v>1.6358511569131987E-2</c:v>
                </c:pt>
                <c:pt idx="2">
                  <c:v>0.95092446529260399</c:v>
                </c:pt>
              </c:numCache>
            </c:numRef>
          </c:val>
        </c:ser>
        <c:ser>
          <c:idx val="1"/>
          <c:order val="1"/>
          <c:tx>
            <c:strRef>
              <c:f>'2018年10月'!$C$260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'2018年10月'!$A$261:$A$263</c:f>
              <c:strCache>
                <c:ptCount val="3"/>
                <c:pt idx="0">
                  <c:v>建筑业</c:v>
                </c:pt>
                <c:pt idx="1">
                  <c:v>批发和零售业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'2018年10月'!$C$261:$C$263</c:f>
              <c:numCache>
                <c:formatCode>0.00%</c:formatCode>
                <c:ptCount val="3"/>
                <c:pt idx="0">
                  <c:v>3.2717023138263975E-2</c:v>
                </c:pt>
                <c:pt idx="1">
                  <c:v>1.6358511569131987E-2</c:v>
                </c:pt>
                <c:pt idx="2">
                  <c:v>0.95092446529260399</c:v>
                </c:pt>
              </c:numCache>
            </c:numRef>
          </c:val>
        </c:ser>
        <c:ser>
          <c:idx val="2"/>
          <c:order val="2"/>
          <c:tx>
            <c:strRef>
              <c:f>'2018年10月'!$D$260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'2018年10月'!$A$261:$A$263</c:f>
              <c:strCache>
                <c:ptCount val="3"/>
                <c:pt idx="0">
                  <c:v>建筑业</c:v>
                </c:pt>
                <c:pt idx="1">
                  <c:v>批发和零售业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'2018年10月'!$D$261:$D$263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752320"/>
        <c:axId val="113844224"/>
      </c:barChart>
      <c:catAx>
        <c:axId val="1137523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3844224"/>
        <c:crosses val="autoZero"/>
        <c:auto val="1"/>
        <c:lblAlgn val="ctr"/>
        <c:lblOffset val="100"/>
        <c:noMultiLvlLbl val="0"/>
      </c:catAx>
      <c:valAx>
        <c:axId val="113844224"/>
        <c:scaling>
          <c:orientation val="minMax"/>
          <c:max val="1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752320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1919162250611477"/>
          <c:y val="0.17901311423821806"/>
          <c:w val="0.16718509150960034"/>
          <c:h val="0.5950990921964468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'2018年10月'!$B$267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'2018年10月'!$A$268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'2018年10月'!$B$268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'2018年10月'!$C$267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'2018年10月'!$A$268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'2018年10月'!$C$268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'2018年10月'!$D$267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'2018年10月'!$A$268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'2018年10月'!$D$268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19520"/>
        <c:axId val="114621056"/>
      </c:barChart>
      <c:catAx>
        <c:axId val="114619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4621056"/>
        <c:crosses val="autoZero"/>
        <c:auto val="1"/>
        <c:lblAlgn val="ctr"/>
        <c:lblOffset val="100"/>
        <c:noMultiLvlLbl val="0"/>
      </c:catAx>
      <c:valAx>
        <c:axId val="11462105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14619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2</cp:revision>
  <dcterms:created xsi:type="dcterms:W3CDTF">2018-11-02T09:39:00Z</dcterms:created>
  <dcterms:modified xsi:type="dcterms:W3CDTF">2018-11-02T09:39:00Z</dcterms:modified>
</cp:coreProperties>
</file>